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8B" w:rsidRDefault="00260C8B">
      <w:pPr>
        <w:suppressAutoHyphens/>
        <w:spacing w:after="113" w:line="240" w:lineRule="auto"/>
        <w:jc w:val="center"/>
        <w:rPr>
          <w:rFonts w:ascii="Arial" w:eastAsia="Arial" w:hAnsi="Arial" w:cs="Arial"/>
          <w:color w:val="000000"/>
          <w:sz w:val="20"/>
          <w:shd w:val="clear" w:color="auto" w:fill="FFFFFF"/>
        </w:rPr>
      </w:pPr>
    </w:p>
    <w:p w:rsidR="00260C8B" w:rsidRDefault="00A93B16">
      <w:pPr>
        <w:suppressAutoHyphens/>
        <w:spacing w:after="113" w:line="240" w:lineRule="auto"/>
        <w:jc w:val="center"/>
        <w:rPr>
          <w:rFonts w:ascii="Arial" w:eastAsia="Arial" w:hAnsi="Arial" w:cs="Arial"/>
          <w:b/>
          <w:color w:val="000000"/>
          <w:sz w:val="3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0"/>
          <w:shd w:val="clear" w:color="auto" w:fill="FFFFFF"/>
        </w:rPr>
        <w:t xml:space="preserve">Modelo de </w:t>
      </w:r>
      <w:r w:rsidR="003B27C9">
        <w:rPr>
          <w:rFonts w:ascii="Arial" w:eastAsia="Arial" w:hAnsi="Arial" w:cs="Arial"/>
          <w:b/>
          <w:color w:val="000000"/>
          <w:sz w:val="30"/>
          <w:shd w:val="clear" w:color="auto" w:fill="FFFFFF"/>
        </w:rPr>
        <w:t>Projeto de Criação do</w:t>
      </w:r>
    </w:p>
    <w:p w:rsidR="00260C8B" w:rsidRDefault="003B27C9">
      <w:pPr>
        <w:suppressAutoHyphens/>
        <w:spacing w:after="113" w:line="240" w:lineRule="auto"/>
        <w:jc w:val="center"/>
        <w:rPr>
          <w:rFonts w:ascii="Arial" w:eastAsia="Arial" w:hAnsi="Arial" w:cs="Arial"/>
          <w:color w:val="000000"/>
          <w:sz w:val="3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0"/>
          <w:shd w:val="clear" w:color="auto" w:fill="FFFFFF"/>
        </w:rPr>
        <w:t>Núcleo Incubador do Campus XXXX</w:t>
      </w:r>
    </w:p>
    <w:p w:rsidR="00260C8B" w:rsidRDefault="00260C8B">
      <w:pPr>
        <w:suppressAutoHyphens/>
        <w:spacing w:after="113" w:line="240" w:lineRule="auto"/>
        <w:ind w:left="3402"/>
        <w:jc w:val="both"/>
        <w:rPr>
          <w:rFonts w:ascii="Arial" w:eastAsia="Arial" w:hAnsi="Arial" w:cs="Arial"/>
          <w:color w:val="000000"/>
          <w:sz w:val="20"/>
          <w:shd w:val="clear" w:color="auto" w:fill="FFFFFF"/>
        </w:rPr>
      </w:pPr>
    </w:p>
    <w:p w:rsidR="00260C8B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b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1. Introdução</w:t>
      </w:r>
    </w:p>
    <w:p w:rsidR="00260C8B" w:rsidRPr="00A93B16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</w:pPr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A Resolução do Conselho Superior Nº 84/2017 de 28 de setembro de 2017, que regimenta a Ativa Incubadora de Empresas do IFMT, institui regras e procedimentos para a institucionalização dos Núcleos Incubadores nos Campi.</w:t>
      </w:r>
    </w:p>
    <w:p w:rsidR="00260C8B" w:rsidRPr="00A93B16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</w:pPr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O Presente projeto objetiva instituci</w:t>
      </w:r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onalizar o Núcleo Incubador, posicionado na Coordenação Extensão do Campus e vinculado à Ativa</w:t>
      </w:r>
      <w:proofErr w:type="gramStart"/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 xml:space="preserve">  </w:t>
      </w:r>
      <w:proofErr w:type="gramEnd"/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Incubadora do IFMT.</w:t>
      </w:r>
    </w:p>
    <w:p w:rsidR="00260C8B" w:rsidRPr="00A93B16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</w:pPr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O Núcleo Incubador</w:t>
      </w:r>
      <w:r w:rsidR="00A93B16"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 xml:space="preserve"> (NI)</w:t>
      </w:r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 xml:space="preserve"> é a unidade responsável por propiciar aos alunos, servidores e à sociedade (comunidade do entorno do campus, setor produt</w:t>
      </w:r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ivo, segmento empresarial, egressos) um ambiente adequado para a criação, o desenvolvimento e a consolidação de empreendimentos inovadores.</w:t>
      </w:r>
    </w:p>
    <w:p w:rsidR="00260C8B" w:rsidRPr="00A93B16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</w:pPr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O NI XXXX, nos termos do seu Regimento Interno, será um polo de estímulo à inovação e ao empreendedorismo na região,</w:t>
      </w:r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 xml:space="preserve"> com atuação na prospecção e apoio a empreendimentos para </w:t>
      </w:r>
      <w:proofErr w:type="spellStart"/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pré</w:t>
      </w:r>
      <w:proofErr w:type="spellEnd"/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-incubação e incubação e acompanhamento (relacionamento contínuo) aos empreendimentos graduados. O Núcleo oferecerá um conjunto de ações caracterizadas como suporte à evolução dos empreendimentos</w:t>
      </w:r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 xml:space="preserve"> inovadores pelo uso de tecnologias e métodos de gestão estratégica e operacional, além de infraestrutura adequada.</w:t>
      </w:r>
    </w:p>
    <w:p w:rsidR="00260C8B" w:rsidRDefault="00260C8B">
      <w:pPr>
        <w:suppressAutoHyphens/>
        <w:spacing w:after="113" w:line="240" w:lineRule="auto"/>
        <w:jc w:val="both"/>
        <w:rPr>
          <w:rFonts w:ascii="Arial" w:eastAsia="Arial" w:hAnsi="Arial" w:cs="Arial"/>
          <w:color w:val="000000"/>
          <w:sz w:val="20"/>
          <w:shd w:val="clear" w:color="auto" w:fill="FFFFFF"/>
        </w:rPr>
      </w:pPr>
    </w:p>
    <w:p w:rsidR="00260C8B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b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2. Justificativa</w:t>
      </w:r>
    </w:p>
    <w:p w:rsidR="00260C8B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b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- O Campus e a Vocação do seu Núcleo Incubador e as demandas locais</w:t>
      </w:r>
    </w:p>
    <w:p w:rsidR="00260C8B" w:rsidRDefault="00A93B16">
      <w:pPr>
        <w:suppressAutoHyphens/>
        <w:spacing w:after="113" w:line="240" w:lineRule="auto"/>
        <w:jc w:val="both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Neste tópico a proposta deverá descrever </w:t>
      </w:r>
      <w:r w:rsidR="003B27C9">
        <w:rPr>
          <w:rFonts w:ascii="Arial" w:eastAsia="Arial" w:hAnsi="Arial" w:cs="Arial"/>
          <w:color w:val="000000"/>
          <w:sz w:val="20"/>
          <w:shd w:val="clear" w:color="auto" w:fill="FFFFFF"/>
        </w:rPr>
        <w:t>as competências, áreas de at</w:t>
      </w:r>
      <w:r w:rsidR="003B27C9">
        <w:rPr>
          <w:rFonts w:ascii="Arial" w:eastAsia="Arial" w:hAnsi="Arial" w:cs="Arial"/>
          <w:color w:val="000000"/>
          <w:sz w:val="20"/>
          <w:shd w:val="clear" w:color="auto" w:fill="FFFFFF"/>
        </w:rPr>
        <w:t>uação e atividades de ensino, pesquisa e extensão desenvolvidas no Campus bem como uma proposta de foco de atuação do Núcleo Incubador.</w:t>
      </w:r>
    </w:p>
    <w:p w:rsidR="00260C8B" w:rsidRPr="00A93B16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</w:pPr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Ciente da missão de promover educação profissional, científica e tecnológica de excelência, por meio do ensino, pesquisa</w:t>
      </w:r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 xml:space="preserve"> e extensão, com foco no desenvolvimento humano sustentável, o campus </w:t>
      </w:r>
      <w:proofErr w:type="spellStart"/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xxx</w:t>
      </w:r>
      <w:proofErr w:type="spellEnd"/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 xml:space="preserve"> do Instituto Federal do Mato Grosso – IFMT</w:t>
      </w:r>
      <w:proofErr w:type="gramStart"/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, faz</w:t>
      </w:r>
      <w:proofErr w:type="gramEnd"/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 xml:space="preserve"> parte da Rede de Ensino Federal, que há mais de 100 anos vem oferecendo ensino público de qualidade em sintonia com as demandas do mer</w:t>
      </w:r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cado. Além disso, possui uma excelente infraestrutura, professores qualificados e profissionais administrativos capacitados para atender aos alunos.</w:t>
      </w:r>
    </w:p>
    <w:p w:rsidR="00260C8B" w:rsidRPr="00A93B16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</w:pPr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A título de exemplo acerca da qualificação dos professores, o campus possui um corpo docente formado por Mestres e Doutores, apresentando um perfil vocacionado para a pesquisa, tendo nas atividades relacionadas ao desenvolvimento científico e tecnológico s</w:t>
      </w:r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ua maior expressão.</w:t>
      </w:r>
    </w:p>
    <w:p w:rsidR="00260C8B" w:rsidRPr="00A93B16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</w:pPr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O Campus foi inaugurado em XXXX, e seguindo a portaria do Ministério da Educação (MEC) nº 000 que ampara o funcionamento da Instituição, ainda está em processo de implantação até 2018. Ainda está prevista a construção de mais quatro blo</w:t>
      </w:r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cos. As obras incluem espaços para ginásio poliesportivo, refeitório/área de serviço, biblioteca e teatro. Também será construída no campus uma fazenda experimental com modelos de produção animal e vegetal.</w:t>
      </w:r>
    </w:p>
    <w:p w:rsidR="00260C8B" w:rsidRPr="00A93B16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</w:pPr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 xml:space="preserve">Na área de ensino, o campus oferece </w:t>
      </w:r>
      <w:proofErr w:type="gramStart"/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os cursos Téc</w:t>
      </w:r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nico em Administração integrado ao Ensino Médio e Técnico em Agropecuária integrado ao Ensino Médio</w:t>
      </w:r>
      <w:proofErr w:type="gramEnd"/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.</w:t>
      </w:r>
    </w:p>
    <w:p w:rsidR="00260C8B" w:rsidRPr="00A93B16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</w:pPr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 xml:space="preserve">O objetivo ao definir o foco é tornar </w:t>
      </w:r>
      <w:proofErr w:type="gramStart"/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explícita as áreas de atuação dos empreendimentos inovadores que serão apoiados pelo Núcleo Incubador</w:t>
      </w:r>
      <w:proofErr w:type="gramEnd"/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. Esta definição</w:t>
      </w:r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 xml:space="preserve"> é resultado da análise do Arranjo Produtivo Local (APL) o qual </w:t>
      </w:r>
      <w:proofErr w:type="gramStart"/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encontra-se</w:t>
      </w:r>
      <w:proofErr w:type="gramEnd"/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 xml:space="preserve"> situado o Campus XXXX em consonância com as necessidades e potencialidades da região.</w:t>
      </w:r>
    </w:p>
    <w:p w:rsidR="00260C8B" w:rsidRPr="00A93B16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</w:pPr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O foco do Núcleo Incubador será apoio a empreendimentos de base tecnológica, social e cultural</w:t>
      </w:r>
      <w:proofErr w:type="gramStart"/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 xml:space="preserve"> ou seja</w:t>
      </w:r>
      <w:proofErr w:type="gramEnd"/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, empreendimentos inovadores cujos produtos, processos ou serviços oferecem desenvolvimento social para a região.</w:t>
      </w:r>
    </w:p>
    <w:p w:rsidR="00260C8B" w:rsidRPr="00A93B16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</w:pPr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lastRenderedPageBreak/>
        <w:t>O Núcleo Incubador XXX apoiará, preferencialmente, empreendimentos nas seguintes áreas:</w:t>
      </w:r>
    </w:p>
    <w:p w:rsidR="00260C8B" w:rsidRPr="00A93B16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</w:pPr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- Administração</w:t>
      </w:r>
    </w:p>
    <w:p w:rsidR="00260C8B" w:rsidRPr="00A93B16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</w:pPr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- Agropecuária</w:t>
      </w:r>
    </w:p>
    <w:p w:rsidR="00260C8B" w:rsidRPr="00A93B16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</w:pPr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- Gestão Social</w:t>
      </w:r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 xml:space="preserve"> e Cultural</w:t>
      </w:r>
    </w:p>
    <w:p w:rsidR="00260C8B" w:rsidRDefault="00260C8B">
      <w:pPr>
        <w:suppressAutoHyphens/>
        <w:spacing w:after="113" w:line="240" w:lineRule="auto"/>
        <w:jc w:val="both"/>
        <w:rPr>
          <w:rFonts w:ascii="Arial" w:eastAsia="Arial" w:hAnsi="Arial" w:cs="Arial"/>
          <w:color w:val="000000"/>
          <w:sz w:val="20"/>
          <w:shd w:val="clear" w:color="auto" w:fill="FFFFFF"/>
        </w:rPr>
      </w:pPr>
    </w:p>
    <w:p w:rsidR="00260C8B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b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3. Infraestrutura disponibilizada ao Núcleo Incubador do Campus XXXX</w:t>
      </w:r>
    </w:p>
    <w:p w:rsidR="00260C8B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b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- Recursos Humanos</w:t>
      </w:r>
    </w:p>
    <w:p w:rsidR="00260C8B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b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- Materiais</w:t>
      </w:r>
    </w:p>
    <w:p w:rsidR="00260C8B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b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- Equipamentos</w:t>
      </w:r>
    </w:p>
    <w:p w:rsidR="00260C8B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b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- Apoio Logístico</w:t>
      </w:r>
    </w:p>
    <w:p w:rsidR="00260C8B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Neste tópico </w:t>
      </w:r>
      <w:r w:rsidR="00A93B16">
        <w:rPr>
          <w:rFonts w:ascii="Arial" w:eastAsia="Arial" w:hAnsi="Arial" w:cs="Arial"/>
          <w:color w:val="000000"/>
          <w:sz w:val="20"/>
          <w:shd w:val="clear" w:color="auto" w:fill="FFFFFF"/>
        </w:rPr>
        <w:t>a proposta deve apresentar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:</w:t>
      </w:r>
    </w:p>
    <w:p w:rsidR="00260C8B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- A descrição do espaço físico que será disponibilizado para a implantação do Núcleo.</w:t>
      </w:r>
    </w:p>
    <w:p w:rsidR="00260C8B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- A relação dos serviços operacionais e de apoio que serão disponibilizados pelo campus para utilização compartilhada pelo Núcleo (Ex. Manutenção da rede de dados com rec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ursos para acesso a (à) internet; Limpeza e conservação; Vigilância; Energia Elétrica; Água e Esgoto; Manutenção e Conservação de bens imóveis; Telefonia).</w:t>
      </w:r>
    </w:p>
    <w:p w:rsidR="00260C8B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- A relação de instalações que serão disponibilizadas para utilização compartilhada pelo Núcleo.</w:t>
      </w:r>
    </w:p>
    <w:p w:rsidR="00260C8B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- H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orário de funcionamento.</w:t>
      </w:r>
    </w:p>
    <w:p w:rsidR="00260C8B" w:rsidRDefault="00260C8B">
      <w:pPr>
        <w:suppressAutoHyphens/>
        <w:spacing w:after="113" w:line="240" w:lineRule="auto"/>
        <w:jc w:val="both"/>
        <w:rPr>
          <w:rFonts w:ascii="Arial" w:eastAsia="Arial" w:hAnsi="Arial" w:cs="Arial"/>
          <w:color w:val="000000"/>
          <w:sz w:val="20"/>
          <w:shd w:val="clear" w:color="auto" w:fill="FFFFFF"/>
        </w:rPr>
      </w:pPr>
    </w:p>
    <w:p w:rsidR="00260C8B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b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4. Cronograma de Atividades para 2018</w:t>
      </w:r>
    </w:p>
    <w:p w:rsidR="00260C8B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Descrição e metodologia das principais atividades a serem desenvolvidas em 2018, como </w:t>
      </w:r>
      <w:proofErr w:type="spellStart"/>
      <w:r>
        <w:rPr>
          <w:rFonts w:ascii="Arial" w:eastAsia="Arial" w:hAnsi="Arial" w:cs="Arial"/>
          <w:color w:val="000000"/>
          <w:sz w:val="20"/>
          <w:shd w:val="clear" w:color="auto" w:fill="FFFFFF"/>
        </w:rPr>
        <w:t>pré</w:t>
      </w:r>
      <w:proofErr w:type="spellEnd"/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-incubação ou incubação de empresas, acompanhamento de </w:t>
      </w:r>
      <w:proofErr w:type="gramStart"/>
      <w:r>
        <w:rPr>
          <w:rFonts w:ascii="Arial" w:eastAsia="Arial" w:hAnsi="Arial" w:cs="Arial"/>
          <w:color w:val="000000"/>
          <w:sz w:val="20"/>
          <w:shd w:val="clear" w:color="auto" w:fill="FFFFFF"/>
        </w:rPr>
        <w:t>empresas juniores</w:t>
      </w:r>
      <w:proofErr w:type="gramEnd"/>
      <w:r>
        <w:rPr>
          <w:rFonts w:ascii="Arial" w:eastAsia="Arial" w:hAnsi="Arial" w:cs="Arial"/>
          <w:color w:val="000000"/>
          <w:sz w:val="20"/>
          <w:shd w:val="clear" w:color="auto" w:fill="FFFFFF"/>
        </w:rPr>
        <w:t>, eventos, capacitações, qualif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icações, participações em eventos de empreendedorismo e inovação e outras atividades correlatas.</w:t>
      </w: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9"/>
        <w:gridCol w:w="441"/>
        <w:gridCol w:w="419"/>
        <w:gridCol w:w="524"/>
        <w:gridCol w:w="458"/>
        <w:gridCol w:w="475"/>
        <w:gridCol w:w="429"/>
        <w:gridCol w:w="390"/>
        <w:gridCol w:w="490"/>
        <w:gridCol w:w="406"/>
        <w:gridCol w:w="477"/>
        <w:gridCol w:w="493"/>
        <w:gridCol w:w="438"/>
      </w:tblGrid>
      <w:tr w:rsidR="00A93B16" w:rsidRPr="00A93B16">
        <w:tblPrEx>
          <w:tblCellMar>
            <w:top w:w="0" w:type="dxa"/>
            <w:bottom w:w="0" w:type="dxa"/>
          </w:tblCellMar>
        </w:tblPrEx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b/>
                <w:i/>
                <w:color w:val="808080" w:themeColor="background1" w:themeShade="80"/>
              </w:rPr>
              <w:t>ATIVIDADE (estes são exemplos)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b/>
                <w:i/>
                <w:color w:val="808080" w:themeColor="background1" w:themeShade="80"/>
              </w:rPr>
              <w:t>J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b/>
                <w:i/>
                <w:color w:val="808080" w:themeColor="background1" w:themeShade="80"/>
              </w:rPr>
              <w:t>F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b/>
                <w:i/>
                <w:color w:val="808080" w:themeColor="background1" w:themeShade="80"/>
              </w:rPr>
              <w:t>M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b/>
                <w:i/>
                <w:color w:val="808080" w:themeColor="background1" w:themeShade="80"/>
              </w:rPr>
              <w:t>A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b/>
                <w:i/>
                <w:color w:val="808080" w:themeColor="background1" w:themeShade="80"/>
              </w:rPr>
              <w:t>M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b/>
                <w:i/>
                <w:color w:val="808080" w:themeColor="background1" w:themeShade="80"/>
              </w:rPr>
              <w:t>J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b/>
                <w:i/>
                <w:color w:val="808080" w:themeColor="background1" w:themeShade="80"/>
              </w:rPr>
              <w:t>J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b/>
                <w:i/>
                <w:color w:val="808080" w:themeColor="background1" w:themeShade="80"/>
              </w:rPr>
              <w:t>A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b/>
                <w:i/>
                <w:color w:val="808080" w:themeColor="background1" w:themeShade="80"/>
              </w:rPr>
              <w:t>S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b/>
                <w:i/>
                <w:color w:val="808080" w:themeColor="background1" w:themeShade="80"/>
              </w:rPr>
              <w:t>O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b/>
                <w:i/>
                <w:color w:val="808080" w:themeColor="background1" w:themeShade="80"/>
              </w:rPr>
              <w:t>N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b/>
                <w:i/>
                <w:color w:val="808080" w:themeColor="background1" w:themeShade="80"/>
              </w:rPr>
              <w:t>D</w:t>
            </w:r>
          </w:p>
        </w:tc>
      </w:tr>
      <w:tr w:rsidR="00A93B16" w:rsidRPr="00A93B16">
        <w:tblPrEx>
          <w:tblCellMar>
            <w:top w:w="0" w:type="dxa"/>
            <w:bottom w:w="0" w:type="dxa"/>
          </w:tblCellMar>
        </w:tblPrEx>
        <w:tc>
          <w:tcPr>
            <w:tcW w:w="35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Capacitação em Empreendedorismo</w:t>
            </w:r>
          </w:p>
        </w:tc>
        <w:tc>
          <w:tcPr>
            <w:tcW w:w="51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595959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4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595959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3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</w:tr>
      <w:tr w:rsidR="00A93B16" w:rsidRPr="00A93B16">
        <w:tblPrEx>
          <w:tblCellMar>
            <w:top w:w="0" w:type="dxa"/>
            <w:bottom w:w="0" w:type="dxa"/>
          </w:tblCellMar>
        </w:tblPrEx>
        <w:tc>
          <w:tcPr>
            <w:tcW w:w="35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 xml:space="preserve">Evento </w:t>
            </w:r>
            <w:proofErr w:type="gramStart"/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1</w:t>
            </w:r>
            <w:proofErr w:type="gramEnd"/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: Rodada de negócios</w:t>
            </w:r>
          </w:p>
        </w:tc>
        <w:tc>
          <w:tcPr>
            <w:tcW w:w="51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595959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4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595959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3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</w:tr>
      <w:tr w:rsidR="00A93B16" w:rsidRPr="00A93B16">
        <w:tblPrEx>
          <w:tblCellMar>
            <w:top w:w="0" w:type="dxa"/>
            <w:bottom w:w="0" w:type="dxa"/>
          </w:tblCellMar>
        </w:tblPrEx>
        <w:tc>
          <w:tcPr>
            <w:tcW w:w="35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 xml:space="preserve">Evento </w:t>
            </w:r>
            <w:proofErr w:type="gramStart"/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2</w:t>
            </w:r>
            <w:proofErr w:type="gramEnd"/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 xml:space="preserve">: Palestra sobre </w:t>
            </w:r>
            <w:proofErr w:type="spellStart"/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StartUp</w:t>
            </w:r>
            <w:proofErr w:type="spellEnd"/>
          </w:p>
        </w:tc>
        <w:tc>
          <w:tcPr>
            <w:tcW w:w="51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595959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4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3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</w:tr>
      <w:tr w:rsidR="00A93B16" w:rsidRPr="00A93B16">
        <w:tblPrEx>
          <w:tblCellMar>
            <w:top w:w="0" w:type="dxa"/>
            <w:bottom w:w="0" w:type="dxa"/>
          </w:tblCellMar>
        </w:tblPrEx>
        <w:tc>
          <w:tcPr>
            <w:tcW w:w="35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 xml:space="preserve">Edital de </w:t>
            </w:r>
            <w:proofErr w:type="spellStart"/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pré</w:t>
            </w:r>
            <w:proofErr w:type="spellEnd"/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-incubação</w:t>
            </w:r>
          </w:p>
        </w:tc>
        <w:tc>
          <w:tcPr>
            <w:tcW w:w="51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595959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4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3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</w:tr>
      <w:tr w:rsidR="00A93B16" w:rsidRPr="00A93B16">
        <w:tblPrEx>
          <w:tblCellMar>
            <w:top w:w="0" w:type="dxa"/>
            <w:bottom w:w="0" w:type="dxa"/>
          </w:tblCellMar>
        </w:tblPrEx>
        <w:tc>
          <w:tcPr>
            <w:tcW w:w="35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proofErr w:type="spellStart"/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Pré</w:t>
            </w:r>
            <w:proofErr w:type="spellEnd"/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-incubação de empreendimentos</w:t>
            </w:r>
          </w:p>
        </w:tc>
        <w:tc>
          <w:tcPr>
            <w:tcW w:w="51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4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595959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595959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595959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3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595959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</w:tr>
      <w:tr w:rsidR="00A93B16" w:rsidRPr="00A93B16">
        <w:tblPrEx>
          <w:tblCellMar>
            <w:top w:w="0" w:type="dxa"/>
            <w:bottom w:w="0" w:type="dxa"/>
          </w:tblCellMar>
        </w:tblPrEx>
        <w:tc>
          <w:tcPr>
            <w:tcW w:w="35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Lançamento de Edital de incubação</w:t>
            </w:r>
          </w:p>
        </w:tc>
        <w:tc>
          <w:tcPr>
            <w:tcW w:w="51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4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3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595959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</w:tr>
      <w:tr w:rsidR="00A93B16" w:rsidRPr="00A93B16">
        <w:tblPrEx>
          <w:tblCellMar>
            <w:top w:w="0" w:type="dxa"/>
            <w:bottom w:w="0" w:type="dxa"/>
          </w:tblCellMar>
        </w:tblPrEx>
        <w:tc>
          <w:tcPr>
            <w:tcW w:w="35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Incubação de empreendimentos</w:t>
            </w:r>
          </w:p>
        </w:tc>
        <w:tc>
          <w:tcPr>
            <w:tcW w:w="51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4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3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595959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595959"/>
            <w:tcMar>
              <w:left w:w="70" w:type="dxa"/>
              <w:right w:w="70" w:type="dxa"/>
            </w:tcMar>
            <w:vAlign w:val="center"/>
          </w:tcPr>
          <w:p w:rsidR="00260C8B" w:rsidRPr="00A93B16" w:rsidRDefault="003B27C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808080" w:themeColor="background1" w:themeShade="80"/>
              </w:rPr>
            </w:pPr>
            <w:r w:rsidRPr="00A93B16">
              <w:rPr>
                <w:rFonts w:ascii="Calibri" w:eastAsia="Calibri" w:hAnsi="Calibri" w:cs="Calibri"/>
                <w:i/>
                <w:color w:val="808080" w:themeColor="background1" w:themeShade="80"/>
              </w:rPr>
              <w:t> </w:t>
            </w:r>
          </w:p>
        </w:tc>
      </w:tr>
    </w:tbl>
    <w:p w:rsidR="00260C8B" w:rsidRDefault="00260C8B">
      <w:pPr>
        <w:suppressAutoHyphens/>
        <w:spacing w:after="113" w:line="240" w:lineRule="auto"/>
        <w:jc w:val="both"/>
        <w:rPr>
          <w:rFonts w:ascii="Arial" w:eastAsia="Arial" w:hAnsi="Arial" w:cs="Arial"/>
          <w:color w:val="000000"/>
          <w:sz w:val="20"/>
          <w:shd w:val="clear" w:color="auto" w:fill="FFFFFF"/>
        </w:rPr>
      </w:pPr>
    </w:p>
    <w:p w:rsidR="00260C8B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b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5. Relação com a pesquisa e ensino, e os impactos esperados para o Campus e região.</w:t>
      </w:r>
    </w:p>
    <w:p w:rsidR="00260C8B" w:rsidRPr="00A93B16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</w:pPr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 xml:space="preserve">O Núcleo irá promover um diálogo interinstitucional, propiciando aos estudantes vivências e qualificações nas temáticas do empreendedorismo, das relações com o mundo do trabalho (como empregados e/ou empregadores), das possibilidades do desenvolvimento da </w:t>
      </w:r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 xml:space="preserve">economia solidária. Durante os processos de </w:t>
      </w:r>
      <w:proofErr w:type="spellStart"/>
      <w:proofErr w:type="gramStart"/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pré</w:t>
      </w:r>
      <w:proofErr w:type="spellEnd"/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 xml:space="preserve"> incubação</w:t>
      </w:r>
      <w:proofErr w:type="gramEnd"/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 xml:space="preserve">, o Núcleo atuará em consonância com pesquisadores do IFMT e outras </w:t>
      </w:r>
      <w:proofErr w:type="spellStart"/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Instituiçoes</w:t>
      </w:r>
      <w:proofErr w:type="spellEnd"/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, objetivando o assessoramento aos empreendimentos para o desenvolvimento de tecnologias e serviços inovadores, promove</w:t>
      </w:r>
      <w:r w:rsidRPr="00A93B16">
        <w:rPr>
          <w:rFonts w:ascii="Arial" w:eastAsia="Arial" w:hAnsi="Arial" w:cs="Arial"/>
          <w:i/>
          <w:color w:val="808080" w:themeColor="background1" w:themeShade="80"/>
          <w:sz w:val="20"/>
          <w:shd w:val="clear" w:color="auto" w:fill="FFFFFF"/>
        </w:rPr>
        <w:t>ndo a interface ensino-pesquisa-extensão-inovação, resultando em reconhecimento Institucional.</w:t>
      </w:r>
    </w:p>
    <w:p w:rsidR="00A93B16" w:rsidRDefault="00A93B16">
      <w:pPr>
        <w:suppressAutoHyphens/>
        <w:spacing w:after="113" w:line="240" w:lineRule="auto"/>
        <w:jc w:val="both"/>
        <w:rPr>
          <w:rFonts w:ascii="Arial" w:eastAsia="Arial" w:hAnsi="Arial" w:cs="Arial"/>
          <w:b/>
          <w:color w:val="000000"/>
          <w:sz w:val="20"/>
          <w:shd w:val="clear" w:color="auto" w:fill="FFFFFF"/>
        </w:rPr>
      </w:pPr>
    </w:p>
    <w:p w:rsidR="00A93B16" w:rsidRDefault="00A93B16">
      <w:pPr>
        <w:suppressAutoHyphens/>
        <w:spacing w:after="113" w:line="240" w:lineRule="auto"/>
        <w:jc w:val="both"/>
        <w:rPr>
          <w:rFonts w:ascii="Arial" w:eastAsia="Arial" w:hAnsi="Arial" w:cs="Arial"/>
          <w:b/>
          <w:color w:val="000000"/>
          <w:sz w:val="20"/>
          <w:shd w:val="clear" w:color="auto" w:fill="FFFFFF"/>
        </w:rPr>
      </w:pPr>
    </w:p>
    <w:p w:rsidR="00260C8B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b/>
          <w:color w:val="000000"/>
          <w:sz w:val="20"/>
          <w:shd w:val="clear" w:color="auto" w:fill="FFFFFF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lastRenderedPageBreak/>
        <w:t>6. Anexos:</w:t>
      </w:r>
    </w:p>
    <w:p w:rsidR="00260C8B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a) Declaração de compatibilidade de horário do responsável pela Gerência Local. A pessoa designada para a Gerência Local deve pertencer ao quadro efet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ivo de servidores do IFMT e dedicar, no mínimo, 10 (dez) horas semanais para o desenvolvimento das atividades.</w:t>
      </w:r>
    </w:p>
    <w:p w:rsidR="00260C8B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b) Portaria de nomeação do Gerente Local.</w:t>
      </w:r>
    </w:p>
    <w:p w:rsidR="00260C8B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c) Portaria de nomeação da Comissão Técnica (nomes).</w:t>
      </w:r>
    </w:p>
    <w:p w:rsidR="00260C8B" w:rsidRDefault="003B27C9">
      <w:pPr>
        <w:suppressAutoHyphens/>
        <w:spacing w:after="113" w:line="240" w:lineRule="auto"/>
        <w:jc w:val="both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d) Portaria de nomeação do Conselho Gestor (nomes)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.</w:t>
      </w:r>
    </w:p>
    <w:sectPr w:rsidR="00260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8B"/>
    <w:rsid w:val="00260C8B"/>
    <w:rsid w:val="003B27C9"/>
    <w:rsid w:val="00A9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Paula Vanessa Xavier Correa de Morais</dc:creator>
  <cp:lastModifiedBy>Lea Paula Vanessa Xavier Correa de Morais</cp:lastModifiedBy>
  <cp:revision>2</cp:revision>
  <dcterms:created xsi:type="dcterms:W3CDTF">2017-11-14T19:48:00Z</dcterms:created>
  <dcterms:modified xsi:type="dcterms:W3CDTF">2017-11-14T19:48:00Z</dcterms:modified>
</cp:coreProperties>
</file>